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A distanza di pochi mesi dall’entrata in vigore di una nuova normativa il legislatore interviene nuovamente con modifiche o correttivi, i quali, in alcuni casi, risolvono problemi pratici emersi in sede di prima applicazione della norma da correggere, in altri casi, invece, generano solo maggior confusione e ulteriori problemi interpretativi.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Ciò potrebbe accadere anche rispetto al D.M. n. 161/2012.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Contestualmente alla pubblicazione del volume</w:t>
      </w:r>
      <w:r w:rsidRPr="009F1814">
        <w:rPr>
          <w:rFonts w:ascii="Times New Roman" w:eastAsia="Times New Roman" w:hAnsi="Times New Roman" w:cs="Times New Roman"/>
          <w:szCs w:val="24"/>
          <w:lang w:eastAsia="it-IT"/>
        </w:rPr>
        <w:t>, il Parlamento sta vagliando la possibilità di apportare diverse modifiche alla disciplina ambientale, tra cui anche modifiche che riguardano la disciplina sulla gestione dei materiali da scavo.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 xml:space="preserve">Il 21 dicembre 2012, la Camera ha discusso e modificato il </w:t>
      </w:r>
      <w:r w:rsidRPr="009F181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disegno di legge “Modifiche al decreto legislativo 3 aprile 2006, n. 152, e altre disposizioni in materia ambientale”</w:t>
      </w:r>
      <w:r w:rsidRPr="009F1814">
        <w:rPr>
          <w:rFonts w:ascii="Times New Roman" w:eastAsia="Times New Roman" w:hAnsi="Times New Roman" w:cs="Times New Roman"/>
          <w:szCs w:val="24"/>
          <w:lang w:eastAsia="it-IT"/>
        </w:rPr>
        <w:t>, attualmente rimesso al Senato per la sua approvazione definitiva.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Ovviamente, non essendo ancora completato l’iter legislativo, non possono escludersi cambi di rotta o ulteriori modifiche ed è altresì azzardato ipotizzare i tempi della pubblicazione, soprattutto in considerazione delle prossime elezioni politiche nazionali previste per il 24 e 25 febbraio 2013.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Ad ogni buon conto, il testo legislativo che ha superato l’esame della Camera contiene molteplici interventi di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modifica al </w:t>
      </w:r>
      <w:proofErr w:type="spellStart"/>
      <w:r>
        <w:rPr>
          <w:rFonts w:ascii="Times New Roman" w:eastAsia="Times New Roman" w:hAnsi="Times New Roman" w:cs="Times New Roman"/>
          <w:szCs w:val="24"/>
          <w:lang w:eastAsia="it-IT"/>
        </w:rPr>
        <w:t>D.Lgs.</w:t>
      </w:r>
      <w:proofErr w:type="spellEnd"/>
      <w:r>
        <w:rPr>
          <w:rFonts w:ascii="Times New Roman" w:eastAsia="Times New Roman" w:hAnsi="Times New Roman" w:cs="Times New Roman"/>
          <w:szCs w:val="24"/>
          <w:lang w:eastAsia="it-IT"/>
        </w:rPr>
        <w:t xml:space="preserve"> n. 152/2006 </w:t>
      </w:r>
      <w:r w:rsidRPr="009F1814">
        <w:rPr>
          <w:rFonts w:ascii="Times New Roman" w:eastAsia="Times New Roman" w:hAnsi="Times New Roman" w:cs="Times New Roman"/>
          <w:szCs w:val="24"/>
          <w:lang w:eastAsia="it-IT"/>
        </w:rPr>
        <w:t>e contiene altresì disposizione specifiche relative ad alcune nuove categorie di sottoprodotti, quali i residui di coltivazione e di lavorazione della pietra e del marmo (art. 13 del Disegno di legge).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Per quanto riguarda, invece, il riutilizzo delle terre e rocce da scavo, due sono le disposizioni di interesse.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Riutilizzo dei materiali da scavo provenienti da miniere dismesse o esaurite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 xml:space="preserve">La prima è introdotta dall’art. 12 del Disegno di legge (“Utilizzo di terre e rocce da scavo”) e riguarda nello specifico il </w:t>
      </w:r>
      <w:r w:rsidRPr="009F181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riutilizzo dei materiali da scavo provenienti da miniere dismesse o esaurite all’interno dei Siti di Interesse Nazionale.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 xml:space="preserve">I materiali da scavo provenienti da tali miniere possono dunque essere riutilizzati per </w:t>
      </w:r>
      <w:proofErr w:type="spellStart"/>
      <w:r w:rsidRPr="009F1814">
        <w:rPr>
          <w:rFonts w:ascii="Times New Roman" w:eastAsia="Times New Roman" w:hAnsi="Times New Roman" w:cs="Times New Roman"/>
          <w:szCs w:val="24"/>
          <w:lang w:eastAsia="it-IT"/>
        </w:rPr>
        <w:t>reinterri</w:t>
      </w:r>
      <w:proofErr w:type="spellEnd"/>
      <w:r w:rsidRPr="009F1814">
        <w:rPr>
          <w:rFonts w:ascii="Times New Roman" w:eastAsia="Times New Roman" w:hAnsi="Times New Roman" w:cs="Times New Roman"/>
          <w:szCs w:val="24"/>
          <w:lang w:eastAsia="it-IT"/>
        </w:rPr>
        <w:t>, riempimenti ecc. nell’ambito delle medesime aree minerarie, previo accertamento delle concentrazioni di inquinanti compatibili con le destinazioni del sito.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La disposizione prevede espressamente che tale accertamento tenga anche conto del valore di fondo naturale, che nei casi di miniere estrattive è verosimile sia anche superiore alle CSC di riferimento.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Accertata tale compatibilità, quindi, le aree possono essere restituite agli usi legittimi, previa comunicazione del soggetto interessato al Ministero dell’Ambiente e della Tutela del Territorio e del Mare dei risultati della caratterizzazione.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b/>
          <w:bCs/>
          <w:i/>
          <w:iCs/>
          <w:szCs w:val="24"/>
          <w:lang w:eastAsia="it-IT"/>
        </w:rPr>
        <w:t>La deroga per i cantieri di minori dimensioni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Sicuramente più rilevante sarebbe la seconda modifica introdotta dal Disegno di legge rispetto alla gestione delle terre e rocce da scavo.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lastRenderedPageBreak/>
        <w:t>Invero, è sbagliato parlare di modifica, in quanto l’art. 27 del Disegno di legge non interviene direttamente sul D.M. n. 161/2012 (in quanto fonte regolamentare), ma crea una deroga rispetto alla disciplina introdotta dallo stesso.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La deroga sarebbe riferita ai “Cantieri di minori dimensioni”</w:t>
      </w:r>
      <w:r w:rsidRPr="009F1814">
        <w:rPr>
          <w:rFonts w:ascii="Times New Roman" w:eastAsia="Times New Roman" w:hAnsi="Times New Roman" w:cs="Times New Roman"/>
          <w:szCs w:val="24"/>
          <w:lang w:eastAsia="it-IT"/>
        </w:rPr>
        <w:t xml:space="preserve"> (considerati nel titolo dell’articolo medesimo) e prevedrebbe che: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“In relazione a quanto disposto dall’art. 266, comma 7, del decreto legislativo 3 aprile 2006, n. 152 , in deroga a quanto previsto dal decreto di cui all’articolo 49 del decreto-legge 24 gennaio 2012, n. 1, convertito, con modificazioni, dalla legge 24 marzo 2012, n. 27 , i materiali da scavo prodotti nel corso di attività e interventi autorizzati in base alle norme vigenti sono sottoposti al regime di cui all’articolo 184-bis del decreto legislativo 3 aprile 2006, n. 152, se il produttore dimostra: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a) che la destinazione all’utilizzo è certa, direttamente presso un determinato sito o un determinato ciclo produttivo;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b) che per i materiali che derivano dallo scavo non sono superati valori delle concentrazioni soglia di contaminazione di cui alle colonne A e B tabella 1, allegato 5 al titolo V della parte quarta del decreto legislativo 3 aprile 2006, n. 152/2006, con riferimento alla caratteristiche delle matrici ambientali e destinazione d’uso urbanistica del sito di destinazione;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c) che l’utilizzo in un successivo ciclo di produzione non determina rischi per la salute né variazioni qualitative o quantitative delle emissioni rispetto al norma utilizzo di altre materie prime;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d) che ai fini di cui alle lettere b) e c) non è necessario sottoporre le terre e rocce da scavo ad alcun preventivo trattamento, fatte salve le normali pratiche industriali e di cantiere.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Il produttore può attestare il rispetto delle condizioni di cui al comma 1 anche tramite dichiarazione resa all’autorità territorialmente competente ai sensi e per gli effetti del testo unico di cui al decreto del presidente della Repubblica 28 dicembre 2000, n. 445, precisando le quantità destinate all’utilizzo, i tempi previsti per l’utilizzo e il sito di deposito, che non può comunque superare due anni dalla data di produzione, fermo restando che le attività di scavo e di utilizzo devono essere autorizzate in conformità alla vigente disciplina urbanistica e igienico sanitaria.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Il produttore deve, in ogni caso, confermare all’autorità territorial-mente competente che le terre e rocce da scavo sono state completa-mente utilizzate secondo le previsioni iniziali.</w:t>
      </w:r>
    </w:p>
    <w:p w:rsidR="009F1814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i/>
          <w:iCs/>
          <w:szCs w:val="24"/>
          <w:lang w:eastAsia="it-IT"/>
        </w:rPr>
        <w:t>L’utilizzo delle terre e rocce da scavo come sottoprodotto resta assoggettato al regime proprio dei beni e dei prodotti. A tal fine il trasporto di tali materiali è accompagnato dal documento di trasporto o da copia del contratto di trasporto redatto in forma scritta o dalla scheda di trasporto di cui agli articoli 6 e 7-bis del decreto legislativo 21 novembre 2005, n. 286, e successive modifiche”.</w:t>
      </w:r>
    </w:p>
    <w:p w:rsidR="009D1128" w:rsidRPr="009F1814" w:rsidRDefault="009F1814" w:rsidP="009F18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9F1814">
        <w:rPr>
          <w:rFonts w:ascii="Times New Roman" w:eastAsia="Times New Roman" w:hAnsi="Times New Roman" w:cs="Times New Roman"/>
          <w:szCs w:val="24"/>
          <w:lang w:eastAsia="it-IT"/>
        </w:rPr>
        <w:t>La possibile modifica è stata accolta favorevolmente dagli operatori, in quanto evidentemente volta a semplificare la procedura di gestione dei materiali da scavo per i piccoli cantieri .</w:t>
      </w:r>
    </w:p>
    <w:sectPr w:rsidR="009D1128" w:rsidRPr="009F1814" w:rsidSect="009D1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F1814"/>
    <w:rsid w:val="009D1128"/>
    <w:rsid w:val="009F1814"/>
    <w:rsid w:val="00B00F34"/>
    <w:rsid w:val="00D7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theme="minorBidi"/>
        <w:sz w:val="24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70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olimpia.ogliari</dc:creator>
  <cp:keywords/>
  <dc:description/>
  <cp:lastModifiedBy>olimpia.ogliari</cp:lastModifiedBy>
  <cp:revision>2</cp:revision>
  <dcterms:created xsi:type="dcterms:W3CDTF">2013-02-12T13:02:00Z</dcterms:created>
  <dcterms:modified xsi:type="dcterms:W3CDTF">2013-02-12T13:12:00Z</dcterms:modified>
</cp:coreProperties>
</file>