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szCs w:val="24"/>
          <w:lang w:eastAsia="it-IT"/>
        </w:rPr>
        <w:t>A distanza di pochi mesi dall’entrata in vigore di una nuova normativa il legislatore interviene nuovamente con modifiche o correttivi, i quali, in alcuni casi, risolvono problemi pratici emersi in sede di prima applicazione della norma da correggere, in altri casi, invece, generano solo maggior confusione e ulteriori problemi interpretativi.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szCs w:val="24"/>
          <w:lang w:eastAsia="it-IT"/>
        </w:rPr>
        <w:t>Ciò potrebbe accadere anche rispetto al D.M. n. 161/2012.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Contestualmente alla pubblicazione del volume</w:t>
      </w:r>
      <w:r w:rsidRPr="009F1814">
        <w:rPr>
          <w:rFonts w:ascii="Times New Roman" w:eastAsia="Times New Roman" w:hAnsi="Times New Roman" w:cs="Times New Roman"/>
          <w:szCs w:val="24"/>
          <w:lang w:eastAsia="it-IT"/>
        </w:rPr>
        <w:t>, il Parlamento sta vagliando la possibilità di apportare diverse modifiche alla disciplina ambientale, tra cui anche modifiche che riguardano la disciplina sulla gestione dei materiali da scavo.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szCs w:val="24"/>
          <w:lang w:eastAsia="it-IT"/>
        </w:rPr>
        <w:t xml:space="preserve">Il 21 dicembre 2012, la Camera ha discusso e modificato il </w:t>
      </w:r>
      <w:r w:rsidRPr="009F1814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disegno di legge “Modifiche al decreto legislativo 3 aprile 2006, n. 152, e altre disposizioni in materia ambientale”</w:t>
      </w:r>
      <w:r w:rsidRPr="009F1814">
        <w:rPr>
          <w:rFonts w:ascii="Times New Roman" w:eastAsia="Times New Roman" w:hAnsi="Times New Roman" w:cs="Times New Roman"/>
          <w:szCs w:val="24"/>
          <w:lang w:eastAsia="it-IT"/>
        </w:rPr>
        <w:t>, attualmente rimesso al Senato per la sua approvazione definitiva.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szCs w:val="24"/>
          <w:lang w:eastAsia="it-IT"/>
        </w:rPr>
        <w:t>Ovviamente, non essendo ancora completato l’iter legislativo, non possono escludersi cambi di rotta o ulteriori modifiche ed è altresì azzardato ipotizzare i tempi della pubblicazione, soprattutto in considerazione delle prossime elezioni politiche nazionali previste per il 24 e 25 febbraio 2013.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szCs w:val="24"/>
          <w:lang w:eastAsia="it-IT"/>
        </w:rPr>
        <w:t>Ad ogni buon conto, il testo legislativo che ha superato l’esame della Camera contiene molteplici interventi di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modifica al </w:t>
      </w:r>
      <w:proofErr w:type="spellStart"/>
      <w:r>
        <w:rPr>
          <w:rFonts w:ascii="Times New Roman" w:eastAsia="Times New Roman" w:hAnsi="Times New Roman" w:cs="Times New Roman"/>
          <w:szCs w:val="24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szCs w:val="24"/>
          <w:lang w:eastAsia="it-IT"/>
        </w:rPr>
        <w:t xml:space="preserve"> n. 152/2006 </w:t>
      </w:r>
      <w:r w:rsidRPr="009F1814">
        <w:rPr>
          <w:rFonts w:ascii="Times New Roman" w:eastAsia="Times New Roman" w:hAnsi="Times New Roman" w:cs="Times New Roman"/>
          <w:szCs w:val="24"/>
          <w:lang w:eastAsia="it-IT"/>
        </w:rPr>
        <w:t>e contiene altresì disposizione specifiche relative ad alcune nuove categorie di sottoprodotti, quali i residui di coltivazione e di lavorazione della pietra e del marmo (art. 13 del Disegno di legge).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szCs w:val="24"/>
          <w:lang w:eastAsia="it-IT"/>
        </w:rPr>
        <w:t>Per quanto riguarda, invece, il riutilizzo delle terre e rocce da scavo, due sono le disposizioni di interesse.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b/>
          <w:bCs/>
          <w:i/>
          <w:iCs/>
          <w:szCs w:val="24"/>
          <w:lang w:eastAsia="it-IT"/>
        </w:rPr>
        <w:t>Riutilizzo dei materiali da scavo provenienti da miniere dismesse o esaurite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szCs w:val="24"/>
          <w:lang w:eastAsia="it-IT"/>
        </w:rPr>
        <w:t xml:space="preserve">La prima è introdotta dall’art. 12 del Disegno di legge (“Utilizzo di terre e rocce da scavo”) e riguarda nello specifico il </w:t>
      </w:r>
      <w:r w:rsidRPr="009F1814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riutilizzo dei materiali da scavo provenienti da miniere dismesse o esaurite all’interno dei Siti di Interesse Nazionale.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szCs w:val="24"/>
          <w:lang w:eastAsia="it-IT"/>
        </w:rPr>
        <w:t xml:space="preserve">I materiali da scavo provenienti da tali miniere possono dunque essere riutilizzati per </w:t>
      </w:r>
      <w:proofErr w:type="spellStart"/>
      <w:r w:rsidRPr="009F1814">
        <w:rPr>
          <w:rFonts w:ascii="Times New Roman" w:eastAsia="Times New Roman" w:hAnsi="Times New Roman" w:cs="Times New Roman"/>
          <w:szCs w:val="24"/>
          <w:lang w:eastAsia="it-IT"/>
        </w:rPr>
        <w:t>reinterri</w:t>
      </w:r>
      <w:proofErr w:type="spellEnd"/>
      <w:r w:rsidRPr="009F1814">
        <w:rPr>
          <w:rFonts w:ascii="Times New Roman" w:eastAsia="Times New Roman" w:hAnsi="Times New Roman" w:cs="Times New Roman"/>
          <w:szCs w:val="24"/>
          <w:lang w:eastAsia="it-IT"/>
        </w:rPr>
        <w:t>, riempimenti ecc. nell’ambito delle medesime aree minerarie, previo accertamento delle concentrazioni di inquinanti compatibili con le destinazioni del sito.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szCs w:val="24"/>
          <w:lang w:eastAsia="it-IT"/>
        </w:rPr>
        <w:t>La disposizione prevede espressamente che tale accertamento tenga anche conto del valore di fondo naturale, che nei casi di miniere estrattive è verosimile sia anche superiore alle CSC di riferimento.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szCs w:val="24"/>
          <w:lang w:eastAsia="it-IT"/>
        </w:rPr>
        <w:t>Accertata tale compatibilità, quindi, le aree possono essere restituite agli usi legittimi, previa comunicazione del soggetto interessato al Ministero dell’Ambiente e della Tutela del Territorio e del Mare dei risultati della caratterizzazione.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b/>
          <w:bCs/>
          <w:i/>
          <w:iCs/>
          <w:szCs w:val="24"/>
          <w:lang w:eastAsia="it-IT"/>
        </w:rPr>
        <w:t>La deroga per i cantieri di minori dimensioni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szCs w:val="24"/>
          <w:lang w:eastAsia="it-IT"/>
        </w:rPr>
        <w:t>Sicuramente più rilevante sarebbe la seconda modifica introdotta dal Disegno di legge rispetto alla gestione delle terre e rocce da scavo.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szCs w:val="24"/>
          <w:lang w:eastAsia="it-IT"/>
        </w:rPr>
        <w:lastRenderedPageBreak/>
        <w:t>Invero, è sbagliato parlare di modifica, in quanto l’art. 27 del Disegno di legge non interviene direttamente sul D.M. n. 161/2012 (in quanto fonte regolamentare), ma crea una deroga rispetto alla disciplina introdotta dallo stesso.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La deroga sarebbe riferita ai “Cantieri di minori dimensioni”</w:t>
      </w:r>
      <w:r w:rsidRPr="009F1814">
        <w:rPr>
          <w:rFonts w:ascii="Times New Roman" w:eastAsia="Times New Roman" w:hAnsi="Times New Roman" w:cs="Times New Roman"/>
          <w:szCs w:val="24"/>
          <w:lang w:eastAsia="it-IT"/>
        </w:rPr>
        <w:t xml:space="preserve"> (considerati nel titolo dell’articolo medesimo) e prevedrebbe che: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>“In relazione a quanto disposto dall’art. 266, comma 7, del decreto legislativo 3 aprile 2006, n. 152 , in deroga a quanto previsto dal decreto di cui all’articolo 49 del decreto-legge 24 gennaio 2012, n. 1, convertito, con modificazioni, dalla legge 24 marzo 2012, n. 27 , i materiali da scavo prodotti nel corso di attività e interventi autorizzati in base alle norme vigenti sono sottoposti al regime di cui all’articolo 184-bis del decreto legislativo 3 aprile 2006, n. 152, se il produttore dimostra: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>a) che la destinazione all’utilizzo è certa, direttamente presso un determinato sito o un determinato ciclo produttivo;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>b) che per i materiali che derivano dallo scavo non sono superati valori delle concentrazioni soglia di contaminazione di cui alle colonne A e B tabella 1, allegato 5 al titolo V della parte quarta del decreto legislativo 3 aprile 2006, n. 152/2006, con riferimento alla caratteristiche delle matrici ambientali e destinazione d’uso urbanistica del sito di destinazione;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>c) che l’utilizzo in un successivo ciclo di produzione non determina rischi per la salute né variazioni qualitative o quantitative delle emissioni rispetto al norma utilizzo di altre materie prime;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>d) che ai fini di cui alle lettere b) e c) non è necessario sottoporre le terre e rocce da scavo ad alcun preventivo trattamento, fatte salve le normali pratiche industriali e di cantiere.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>Il produttore può attestare il rispetto delle condizioni di cui al comma 1 anche tramite dichiarazione resa all’autorità territorialmente competente ai sensi e per gli effetti del testo unico di cui al decreto del presidente della Repubblica 28 dicembre 2000, n. 445, precisando le quantità destinate all’utilizzo, i tempi previsti per l’utilizzo e il sito di deposito, che non può comunque superare due anni dalla data di produzione, fermo restando che le attività di scavo e di utilizzo devono essere autorizzate in conformità alla vigente disciplina urbanistica e igienico sanitaria.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>Il produttore deve, in ogni caso, confermare all’autorità territorial-mente competente che le terre e rocce da scavo sono state completa-mente utilizzate secondo le previsioni iniziali.</w:t>
      </w:r>
    </w:p>
    <w:p w:rsidR="009F1814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>L’utilizzo delle terre e rocce da scavo come sottoprodotto resta assoggettato al regime proprio dei beni e dei prodotti. A tal fine il trasporto di tali materiali è accompagnato dal documento di trasporto o da copia del contratto di trasporto redatto in forma scritta o dalla scheda di trasporto di cui agli articoli 6 e 7-bis del decreto legislativo 21 novembre 2005, n. 286, e successive modifiche”.</w:t>
      </w:r>
    </w:p>
    <w:p w:rsidR="009D1128" w:rsidRPr="009F1814" w:rsidRDefault="009F1814" w:rsidP="009F1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9F1814">
        <w:rPr>
          <w:rFonts w:ascii="Times New Roman" w:eastAsia="Times New Roman" w:hAnsi="Times New Roman" w:cs="Times New Roman"/>
          <w:szCs w:val="24"/>
          <w:lang w:eastAsia="it-IT"/>
        </w:rPr>
        <w:t>La possibile modifica è stata accolta favorevolmente dagli operatori, in quanto evidentemente volta a semplificare la procedura di gestione dei materiali da scavo per i piccoli cantieri .</w:t>
      </w:r>
    </w:p>
    <w:sectPr w:rsidR="009D1128" w:rsidRPr="009F1814" w:rsidSect="009D11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F1814"/>
    <w:rsid w:val="009D1128"/>
    <w:rsid w:val="009F1814"/>
    <w:rsid w:val="00B00F34"/>
    <w:rsid w:val="00D7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1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0A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olimpia.ogliari</dc:creator>
  <cp:keywords/>
  <dc:description/>
  <cp:lastModifiedBy>olimpia.ogliari</cp:lastModifiedBy>
  <cp:revision>2</cp:revision>
  <dcterms:created xsi:type="dcterms:W3CDTF">2013-02-12T13:02:00Z</dcterms:created>
  <dcterms:modified xsi:type="dcterms:W3CDTF">2013-02-12T13:12:00Z</dcterms:modified>
</cp:coreProperties>
</file>